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F9D" w:rsidRDefault="00807F9D" w:rsidP="006679AA">
      <w:pPr>
        <w:jc w:val="center"/>
        <w:rPr>
          <w:bCs/>
          <w:color w:val="231F20"/>
        </w:rPr>
      </w:pPr>
      <w:r>
        <w:rPr>
          <w:bCs/>
          <w:color w:val="231F20"/>
        </w:rPr>
        <w:t>Scholar Fund, Inc.</w:t>
      </w:r>
    </w:p>
    <w:p w:rsidR="00807F9D" w:rsidRDefault="00807F9D" w:rsidP="006679AA">
      <w:pPr>
        <w:jc w:val="center"/>
        <w:rPr>
          <w:b/>
          <w:bCs/>
          <w:color w:val="231F20"/>
        </w:rPr>
      </w:pPr>
      <w:r>
        <w:rPr>
          <w:b/>
          <w:bCs/>
          <w:color w:val="231F20"/>
        </w:rPr>
        <w:t>Investments Policy</w:t>
      </w:r>
    </w:p>
    <w:p w:rsidR="00807F9D" w:rsidRDefault="00807F9D" w:rsidP="006679AA">
      <w:pPr>
        <w:jc w:val="center"/>
        <w:rPr>
          <w:bCs/>
          <w:color w:val="231F20"/>
        </w:rPr>
      </w:pPr>
      <w:r>
        <w:rPr>
          <w:bCs/>
          <w:color w:val="231F20"/>
        </w:rPr>
        <w:t>Adopted by the Board of Directors on May 24, 2012</w:t>
      </w:r>
    </w:p>
    <w:p w:rsidR="00807F9D" w:rsidRDefault="00807F9D" w:rsidP="006679AA">
      <w:pPr>
        <w:pStyle w:val="BodyText"/>
        <w:spacing w:after="240"/>
        <w:rPr>
          <w:sz w:val="24"/>
        </w:rPr>
      </w:pPr>
    </w:p>
    <w:p w:rsidR="00807F9D" w:rsidRDefault="00807F9D" w:rsidP="006679AA">
      <w:pPr>
        <w:pStyle w:val="BodyText"/>
        <w:spacing w:after="240"/>
        <w:rPr>
          <w:sz w:val="24"/>
          <w:u w:val="single"/>
        </w:rPr>
      </w:pPr>
      <w:bookmarkStart w:id="0" w:name="_DV_M4"/>
      <w:bookmarkEnd w:id="0"/>
      <w:r>
        <w:rPr>
          <w:sz w:val="24"/>
          <w:u w:val="single"/>
        </w:rPr>
        <w:t>Section 1. Purpose</w:t>
      </w:r>
    </w:p>
    <w:p w:rsidR="00807F9D" w:rsidRDefault="00807F9D" w:rsidP="006679AA">
      <w:pPr>
        <w:pStyle w:val="BodyText"/>
        <w:spacing w:after="240"/>
        <w:rPr>
          <w:sz w:val="24"/>
        </w:rPr>
      </w:pPr>
      <w:bookmarkStart w:id="1" w:name="_DV_M5"/>
      <w:bookmarkEnd w:id="1"/>
      <w:r>
        <w:rPr>
          <w:sz w:val="24"/>
        </w:rPr>
        <w:t xml:space="preserve">The purpose of this policy is to set forth the standards and guidelines governing the investment and management of the financial </w:t>
      </w:r>
      <w:bookmarkStart w:id="2" w:name="_DV_M6"/>
      <w:bookmarkEnd w:id="2"/>
      <w:r>
        <w:rPr>
          <w:sz w:val="24"/>
        </w:rPr>
        <w:t xml:space="preserve">assets of Scholar Fund (the “Corporation”) by the Corporation’s Board of Directors (the “Board”). This policy is intended to be in accordance with the New York Prudent Management of Institutional Funds Act (“NYPMIFA”). </w:t>
      </w:r>
    </w:p>
    <w:p w:rsidR="00807F9D" w:rsidRDefault="00807F9D" w:rsidP="006679AA">
      <w:pPr>
        <w:pStyle w:val="BodyText"/>
        <w:spacing w:after="240"/>
        <w:rPr>
          <w:sz w:val="24"/>
        </w:rPr>
      </w:pPr>
      <w:bookmarkStart w:id="3" w:name="_DV_M7"/>
      <w:bookmarkEnd w:id="3"/>
      <w:r>
        <w:rPr>
          <w:sz w:val="24"/>
          <w:u w:val="single"/>
        </w:rPr>
        <w:t>Section 2. Financial Assets of the Corporation</w:t>
      </w:r>
    </w:p>
    <w:p w:rsidR="00807F9D" w:rsidRDefault="00807F9D" w:rsidP="006679AA">
      <w:pPr>
        <w:pStyle w:val="BodyText"/>
        <w:spacing w:after="240"/>
        <w:rPr>
          <w:sz w:val="24"/>
        </w:rPr>
      </w:pPr>
      <w:bookmarkStart w:id="4" w:name="_DV_M8"/>
      <w:bookmarkEnd w:id="4"/>
      <w:r>
        <w:rPr>
          <w:sz w:val="24"/>
        </w:rPr>
        <w:t xml:space="preserve">The Corporation’s financial assets consist of (a) funds that are intended to be used to cover its operating expenses (the “Operating Fund”), and (b) funds that have been given by a donor for a specific scholarship (each such fund, a “Program Fund” and, together with the Operating Fund, the “Funds”). The Corporation does not maintain any endowment funds. The standards and guidelines set forth in this policy apply to the Operating Fund and the Program Fund, although the specific objectives, risk parameters and asset allocation of each of the Funds will differ.  </w:t>
      </w:r>
      <w:bookmarkStart w:id="5" w:name="_DV_M10"/>
      <w:bookmarkEnd w:id="5"/>
    </w:p>
    <w:p w:rsidR="00807F9D" w:rsidRDefault="00807F9D" w:rsidP="006679AA">
      <w:pPr>
        <w:pStyle w:val="BodyText"/>
        <w:spacing w:after="240"/>
        <w:rPr>
          <w:sz w:val="24"/>
        </w:rPr>
      </w:pPr>
      <w:r>
        <w:rPr>
          <w:sz w:val="24"/>
          <w:u w:val="single"/>
        </w:rPr>
        <w:t>Section 3. Investment and Management Objectives and Guidelines</w:t>
      </w:r>
    </w:p>
    <w:p w:rsidR="00807F9D" w:rsidRDefault="00807F9D" w:rsidP="006679AA">
      <w:pPr>
        <w:pStyle w:val="BodyText"/>
        <w:spacing w:after="240"/>
        <w:rPr>
          <w:sz w:val="24"/>
        </w:rPr>
      </w:pPr>
      <w:bookmarkStart w:id="6" w:name="_DV_M11"/>
      <w:bookmarkStart w:id="7" w:name="_DV_M12"/>
      <w:bookmarkStart w:id="8" w:name="_DV_M13"/>
      <w:bookmarkEnd w:id="6"/>
      <w:bookmarkEnd w:id="7"/>
      <w:bookmarkEnd w:id="8"/>
      <w:r>
        <w:rPr>
          <w:sz w:val="24"/>
        </w:rPr>
        <w:tab/>
      </w:r>
      <w:r>
        <w:rPr>
          <w:sz w:val="24"/>
          <w:u w:val="single"/>
        </w:rPr>
        <w:t>Operating Fund</w:t>
      </w:r>
      <w:r>
        <w:rPr>
          <w:sz w:val="24"/>
        </w:rPr>
        <w:t>:  The Operating Fund shall be invested with the objective of preserving its assets to cover operating expenses and realizing earnings in a way that allows for immediate liquidity to meet the Corporation’s ongoing programmatic and operational needs. Operating Fund assets may be maintained in the checking account that the Corporation uses for day-to-day operations and may also be invested in other cash-equivalent investments, such as savings accounts, money market accounts, certificates of deposit with maturities appropriate for expected needs, Treasury bills and other investments that are relatively easy to liquidate. The Board, or a director or committee of directors appointed by the Board, will annually review the allocation of Operating Fund assets between the Corporation’s checking account and its other cash-equivalent investments, if any, and will determine the appropriate allocation based on the Corporation’s cash-flow needs.</w:t>
      </w:r>
    </w:p>
    <w:p w:rsidR="00807F9D" w:rsidRDefault="00807F9D" w:rsidP="006679AA">
      <w:pPr>
        <w:pStyle w:val="BodyText"/>
        <w:spacing w:after="240"/>
        <w:rPr>
          <w:sz w:val="24"/>
        </w:rPr>
      </w:pPr>
      <w:r>
        <w:rPr>
          <w:sz w:val="24"/>
        </w:rPr>
        <w:tab/>
      </w:r>
      <w:r>
        <w:rPr>
          <w:sz w:val="24"/>
          <w:u w:val="single"/>
        </w:rPr>
        <w:t>Program Funds</w:t>
      </w:r>
      <w:r>
        <w:rPr>
          <w:sz w:val="24"/>
        </w:rPr>
        <w:t>: Upon agreement between scholarship donors and the Corporation, Program Funds’ assets shall be invested in the moderate age-based option of 529 College Savings Program portfolios. Program Funds may not be invested in any other certificates of deposit, Treasury bills, mutual funds, exchange traded funds, equities or fixed income securities.</w:t>
      </w:r>
    </w:p>
    <w:p w:rsidR="00807F9D" w:rsidRDefault="00807F9D" w:rsidP="006679AA">
      <w:pPr>
        <w:pStyle w:val="BodyText"/>
        <w:spacing w:after="240"/>
        <w:rPr>
          <w:sz w:val="24"/>
          <w:u w:val="single"/>
        </w:rPr>
      </w:pPr>
      <w:r>
        <w:rPr>
          <w:sz w:val="24"/>
          <w:u w:val="single"/>
        </w:rPr>
        <w:t xml:space="preserve">Section 4. Diversification </w:t>
      </w:r>
    </w:p>
    <w:p w:rsidR="00807F9D" w:rsidRDefault="00807F9D" w:rsidP="006679AA">
      <w:pPr>
        <w:pStyle w:val="BodyText"/>
        <w:spacing w:after="240"/>
        <w:rPr>
          <w:sz w:val="24"/>
        </w:rPr>
      </w:pPr>
      <w:r>
        <w:rPr>
          <w:sz w:val="24"/>
        </w:rPr>
        <w:t xml:space="preserve">The Board has prudently determined that, because of special circumstances, the purposes of the Fund are better served without diversification. The Board shall review this decision not to diversify annually.  </w:t>
      </w:r>
    </w:p>
    <w:p w:rsidR="00807F9D" w:rsidRDefault="00807F9D" w:rsidP="006679AA">
      <w:pPr>
        <w:pStyle w:val="BodyText"/>
        <w:spacing w:after="240"/>
        <w:rPr>
          <w:sz w:val="24"/>
          <w:u w:val="single"/>
        </w:rPr>
      </w:pPr>
      <w:bookmarkStart w:id="9" w:name="_DV_M14"/>
      <w:bookmarkEnd w:id="9"/>
    </w:p>
    <w:p w:rsidR="00807F9D" w:rsidRDefault="00807F9D" w:rsidP="006679AA">
      <w:pPr>
        <w:pStyle w:val="BodyText"/>
        <w:spacing w:after="240"/>
        <w:rPr>
          <w:sz w:val="24"/>
        </w:rPr>
      </w:pPr>
      <w:r>
        <w:rPr>
          <w:sz w:val="24"/>
          <w:u w:val="single"/>
        </w:rPr>
        <w:t>Section 5. Responsibilities of the Board</w:t>
      </w:r>
    </w:p>
    <w:p w:rsidR="00807F9D" w:rsidRDefault="00807F9D" w:rsidP="006679AA">
      <w:pPr>
        <w:pStyle w:val="BodyText"/>
        <w:spacing w:after="240"/>
        <w:rPr>
          <w:sz w:val="24"/>
        </w:rPr>
      </w:pPr>
      <w:bookmarkStart w:id="10" w:name="_DV_M15"/>
      <w:bookmarkEnd w:id="10"/>
      <w:r>
        <w:rPr>
          <w:sz w:val="24"/>
        </w:rPr>
        <w:t>In managing the financial assets of the Corporation, the Board shall act in good faith and with the care an ordinarily prudent person in like position would exercise under similar circumstances. When making investment and management decisions, the Board shall consider the Corporation’s purposes, as well as the purposes of the specific Fund.</w:t>
      </w:r>
    </w:p>
    <w:p w:rsidR="00807F9D" w:rsidRDefault="00807F9D" w:rsidP="006679AA">
      <w:pPr>
        <w:pStyle w:val="BodyText"/>
        <w:spacing w:after="240"/>
        <w:rPr>
          <w:sz w:val="24"/>
        </w:rPr>
      </w:pPr>
      <w:bookmarkStart w:id="11" w:name="_DV_M16"/>
      <w:bookmarkStart w:id="12" w:name="_DV_M19"/>
      <w:bookmarkEnd w:id="11"/>
      <w:bookmarkEnd w:id="12"/>
      <w:r>
        <w:rPr>
          <w:sz w:val="24"/>
        </w:rPr>
        <w:t xml:space="preserve">In making decisions regarding </w:t>
      </w:r>
      <w:bookmarkStart w:id="13" w:name="_DV_M20"/>
      <w:bookmarkEnd w:id="13"/>
      <w:r>
        <w:rPr>
          <w:sz w:val="24"/>
        </w:rPr>
        <w:t xml:space="preserve">management and investment of the Corporation’s financial assets, the Board, as required by law, shall consider the following factors, if relevant: </w:t>
      </w:r>
    </w:p>
    <w:p w:rsidR="00807F9D" w:rsidRDefault="00807F9D" w:rsidP="006679AA">
      <w:pPr>
        <w:ind w:left="720" w:hanging="360"/>
      </w:pPr>
      <w:bookmarkStart w:id="14" w:name="_DV_M22"/>
      <w:bookmarkEnd w:id="14"/>
      <w:r>
        <w:t xml:space="preserve">(1) general economic conditions; </w:t>
      </w:r>
    </w:p>
    <w:p w:rsidR="00807F9D" w:rsidRDefault="00807F9D" w:rsidP="006679AA">
      <w:pPr>
        <w:ind w:left="720" w:hanging="360"/>
      </w:pPr>
      <w:bookmarkStart w:id="15" w:name="_DV_M23"/>
      <w:bookmarkEnd w:id="15"/>
      <w:r>
        <w:t xml:space="preserve">(2) the possible effect of inflation or deflation; </w:t>
      </w:r>
    </w:p>
    <w:p w:rsidR="00807F9D" w:rsidRDefault="00807F9D" w:rsidP="006679AA">
      <w:pPr>
        <w:ind w:left="720" w:hanging="360"/>
      </w:pPr>
      <w:bookmarkStart w:id="16" w:name="_DV_M24"/>
      <w:bookmarkEnd w:id="16"/>
      <w:r>
        <w:t xml:space="preserve">(3) the expected tax consequences, if any, of investment/management decisions or strategies; </w:t>
      </w:r>
    </w:p>
    <w:p w:rsidR="00807F9D" w:rsidRDefault="00807F9D" w:rsidP="006679AA">
      <w:pPr>
        <w:ind w:left="720" w:hanging="360"/>
      </w:pPr>
      <w:bookmarkStart w:id="17" w:name="_DV_M25"/>
      <w:bookmarkEnd w:id="17"/>
      <w:r>
        <w:t xml:space="preserve">(4) the role that each investment or course of action plays within the overall investment portfolio of the specific Fund; </w:t>
      </w:r>
    </w:p>
    <w:p w:rsidR="00807F9D" w:rsidRDefault="00807F9D" w:rsidP="006679AA">
      <w:pPr>
        <w:ind w:left="720" w:hanging="360"/>
      </w:pPr>
      <w:bookmarkStart w:id="18" w:name="_DV_M26"/>
      <w:bookmarkEnd w:id="18"/>
      <w:r>
        <w:t xml:space="preserve">(5) the expected total return from income and the appreciation of its investments; </w:t>
      </w:r>
    </w:p>
    <w:p w:rsidR="00807F9D" w:rsidRDefault="00807F9D" w:rsidP="006679AA">
      <w:pPr>
        <w:ind w:left="720" w:hanging="360"/>
      </w:pPr>
      <w:bookmarkStart w:id="19" w:name="_DV_M27"/>
      <w:bookmarkEnd w:id="19"/>
      <w:r>
        <w:t xml:space="preserve">(6) other resources of the Corporation; </w:t>
      </w:r>
    </w:p>
    <w:p w:rsidR="00807F9D" w:rsidRDefault="00807F9D" w:rsidP="006679AA">
      <w:pPr>
        <w:ind w:left="720" w:hanging="360"/>
      </w:pPr>
      <w:bookmarkStart w:id="20" w:name="_DV_M28"/>
      <w:bookmarkEnd w:id="20"/>
      <w:r>
        <w:t xml:space="preserve">(7) the needs of the Corporation and the specific Fund to make distributions and to preserve capital; and </w:t>
      </w:r>
    </w:p>
    <w:p w:rsidR="00807F9D" w:rsidRDefault="00807F9D" w:rsidP="006679AA">
      <w:pPr>
        <w:ind w:left="720" w:hanging="360"/>
      </w:pPr>
      <w:bookmarkStart w:id="21" w:name="_DV_M29"/>
      <w:bookmarkEnd w:id="21"/>
      <w:r>
        <w:t>(8) an asset’s special relationship or special value, if any, to the purposes of the Corporation.</w:t>
      </w:r>
    </w:p>
    <w:p w:rsidR="00807F9D" w:rsidRDefault="00807F9D" w:rsidP="006679AA">
      <w:pPr>
        <w:jc w:val="both"/>
      </w:pPr>
    </w:p>
    <w:p w:rsidR="00807F9D" w:rsidRDefault="00807F9D" w:rsidP="006679AA">
      <w:r>
        <w:t xml:space="preserve">The Board may delegate responsibilities to a committee of the Board or an officer or employee of the Corporation. Any such committee or individual to whom such responsibility is delegated shall report to the Board on a regular basis.  </w:t>
      </w:r>
    </w:p>
    <w:p w:rsidR="00807F9D" w:rsidRDefault="00807F9D" w:rsidP="006679AA"/>
    <w:p w:rsidR="00807F9D" w:rsidRDefault="00807F9D" w:rsidP="006679AA">
      <w:pPr>
        <w:pStyle w:val="BodyText"/>
        <w:spacing w:after="240"/>
        <w:rPr>
          <w:sz w:val="24"/>
        </w:rPr>
      </w:pPr>
      <w:r>
        <w:rPr>
          <w:sz w:val="24"/>
          <w:u w:val="single"/>
        </w:rPr>
        <w:t>Section 6. Records</w:t>
      </w:r>
    </w:p>
    <w:p w:rsidR="00807F9D" w:rsidRDefault="00807F9D" w:rsidP="006679AA">
      <w:pPr>
        <w:jc w:val="both"/>
      </w:pPr>
      <w:r>
        <w:t>The Board shall keep a record of its decisions regarding the management and investment of the Corporation’s financial assets, describing the consideration given to each of the eight factors listed above.</w:t>
      </w:r>
      <w:bookmarkStart w:id="22" w:name="_DV_M30"/>
      <w:bookmarkEnd w:id="22"/>
      <w:r>
        <w:t xml:space="preserve"> The Board shall make reasonable efforts to verify the accuracy of information used in making decisions regarding the management and investment of its financial assets.  </w:t>
      </w:r>
    </w:p>
    <w:p w:rsidR="00807F9D" w:rsidRDefault="00807F9D" w:rsidP="006679AA">
      <w:pPr>
        <w:rPr>
          <w:u w:val="single"/>
        </w:rPr>
      </w:pPr>
      <w:bookmarkStart w:id="23" w:name="_DV_M33"/>
      <w:bookmarkStart w:id="24" w:name="_DV_M34"/>
      <w:bookmarkEnd w:id="23"/>
      <w:bookmarkEnd w:id="24"/>
    </w:p>
    <w:p w:rsidR="00807F9D" w:rsidRDefault="00807F9D" w:rsidP="006679AA">
      <w:pPr>
        <w:rPr>
          <w:u w:val="single"/>
        </w:rPr>
      </w:pPr>
      <w:bookmarkStart w:id="25" w:name="_DV_M35"/>
      <w:bookmarkEnd w:id="25"/>
      <w:r>
        <w:rPr>
          <w:u w:val="single"/>
        </w:rPr>
        <w:t>Section 7. Delegation to External Agent</w:t>
      </w:r>
    </w:p>
    <w:p w:rsidR="00807F9D" w:rsidRDefault="00807F9D" w:rsidP="006679AA"/>
    <w:p w:rsidR="00807F9D" w:rsidRDefault="00807F9D" w:rsidP="006679AA">
      <w:bookmarkStart w:id="26" w:name="_DV_M36"/>
      <w:bookmarkEnd w:id="26"/>
      <w:r>
        <w:t>To the extent it considers prudent, the Board may delegate management and investment decisions to an external agent, such as a bank, investment advisor, investment manager</w:t>
      </w:r>
      <w:bookmarkStart w:id="27" w:name="_DV_M37"/>
      <w:bookmarkEnd w:id="27"/>
      <w:r>
        <w:t xml:space="preserve"> or custodian, except where prohibited by the terms of a gift instrument. The Board will act in good faith and with the care an ordinarily prudent person in like position would exercise under similar circumstances in (i) selecting, continuing or terminating the external agent; (ii) establishing the scope and terms of the delegation</w:t>
      </w:r>
      <w:bookmarkStart w:id="28" w:name="_DV_M38"/>
      <w:bookmarkEnd w:id="28"/>
      <w:r>
        <w:t>, including the compensation to be paid; and (iii) monitoring the agent’s performance and compliance with the scope and terms of the delegation. The Board, in making the decision as to whether to delegate such functions to a specific external agent, shall conduct such due diligence as the Board deems appropriate, such as reviewing information regarding the external agent's experience, personnel, track record and proposed compensation as compared to appropriate peers.  An external agent to which management and investment authority is delegated owes a duty to the Corporation to exercise reasonable care, skill and caution to comply with the scope and terms of the delegation.</w:t>
      </w:r>
    </w:p>
    <w:p w:rsidR="00807F9D" w:rsidRDefault="00807F9D" w:rsidP="006679AA"/>
    <w:p w:rsidR="00807F9D" w:rsidRDefault="00807F9D" w:rsidP="006679AA">
      <w:bookmarkStart w:id="29" w:name="_DV_M39"/>
      <w:bookmarkEnd w:id="29"/>
      <w:r>
        <w:t>External agents shall provide the Board with reports on investment performance on a quarterly basis, at a minimum, and more frequently if so requested by the Board. The Board will assess at least annually the performance and independence of the external agent</w:t>
      </w:r>
      <w:bookmarkStart w:id="30" w:name="_DV_M40"/>
      <w:bookmarkEnd w:id="30"/>
      <w:r>
        <w:t>, including any conflicts of interest it may have. Any actual or potential conflicts of interest involving a member of the Board or officer</w:t>
      </w:r>
      <w:bookmarkStart w:id="31" w:name="_DV_M41"/>
      <w:bookmarkEnd w:id="31"/>
      <w:r>
        <w:t xml:space="preserve"> or key employee of the Corporation with respect to the external agent must be disclosed and resolved pursuant to the Corporation’s Conflict of Interest Policy and any conflicts of interest the agent may have involving service to the Corporation (e.g., investment in deposits of a bank owned by the agent’s brother) must also be disclosed to the Corporation. Any contract between the Corporation and an external agent involving delegation of investment authority shall be terminable by the Corporation at any time, without penalty, upon no more than 60 days’ notice.  </w:t>
      </w:r>
    </w:p>
    <w:p w:rsidR="00807F9D" w:rsidRDefault="00807F9D" w:rsidP="006679AA"/>
    <w:p w:rsidR="00807F9D" w:rsidRDefault="00807F9D" w:rsidP="006679AA">
      <w:r>
        <w:t xml:space="preserve">The Board shall also review annually the Corporation’s arrangements with investment managers and other entities with which the Corporation maintains its </w:t>
      </w:r>
      <w:bookmarkStart w:id="32" w:name="_DV_M31"/>
      <w:bookmarkEnd w:id="32"/>
      <w:r>
        <w:t>financial assets</w:t>
      </w:r>
      <w:bookmarkStart w:id="33" w:name="_DV_M32"/>
      <w:bookmarkEnd w:id="33"/>
      <w:r>
        <w:t xml:space="preserve"> to ensure that the costs and fees associated with each such arrangement are appropriate and reasonable in relation to the assets, the Corporation’s purposes, and the skills available to the Corporation. </w:t>
      </w:r>
    </w:p>
    <w:p w:rsidR="00807F9D" w:rsidRDefault="00807F9D" w:rsidP="006679AA"/>
    <w:p w:rsidR="00807F9D" w:rsidRDefault="00807F9D" w:rsidP="006679AA">
      <w:r>
        <w:t xml:space="preserve">The Corporation will seek to ensure that investment managers retained by the Corporation invest the Corporation’s investment assets in accordance with this Policy and any specific guidelines for the investment manager established by the Board, which may include return and risk expectations, asset allocations and investment strategies (including allowed and prohibited investments). Decisions as to the selection of individual investments, security size and quality, number of industries and holdings shall be left to the broad discretion of the investment manager, within the limits set forth in this policy and any specific guidelines established by the Board, and subject to the prudence standards under NYPMIFA. </w:t>
      </w:r>
    </w:p>
    <w:p w:rsidR="00807F9D" w:rsidRDefault="00807F9D" w:rsidP="006679AA">
      <w:pPr>
        <w:rPr>
          <w:u w:val="single"/>
        </w:rPr>
      </w:pPr>
      <w:bookmarkStart w:id="34" w:name="_DV_M42"/>
      <w:bookmarkEnd w:id="34"/>
    </w:p>
    <w:p w:rsidR="00807F9D" w:rsidRDefault="00807F9D" w:rsidP="006679AA">
      <w:r>
        <w:rPr>
          <w:u w:val="single"/>
        </w:rPr>
        <w:t>Section 8. Review of Investment Policy</w:t>
      </w:r>
    </w:p>
    <w:p w:rsidR="00807F9D" w:rsidRDefault="00807F9D" w:rsidP="006679AA"/>
    <w:p w:rsidR="00807F9D" w:rsidRDefault="00807F9D" w:rsidP="006679AA">
      <w:bookmarkStart w:id="35" w:name="_DV_M43"/>
      <w:bookmarkEnd w:id="35"/>
      <w:r>
        <w:t>The Board will review this Policy annually, and shall amend the Policy as necessary to reflect developments affecting the Corporation’s finances and activities.</w:t>
      </w:r>
    </w:p>
    <w:p w:rsidR="00807F9D" w:rsidRDefault="00807F9D" w:rsidP="006679AA"/>
    <w:p w:rsidR="00807F9D" w:rsidRDefault="00807F9D" w:rsidP="006679AA"/>
    <w:p w:rsidR="00807F9D" w:rsidRDefault="00807F9D" w:rsidP="006679AA"/>
    <w:p w:rsidR="00807F9D" w:rsidRDefault="00807F9D"/>
    <w:sectPr w:rsidR="00807F9D" w:rsidSect="00C77DDD">
      <w:headerReference w:type="default" r:id="rId6"/>
      <w:footerReference w:type="default" r:id="rId7"/>
      <w:footerReference w:type="first" r:id="rId8"/>
      <w:pgSz w:w="12240" w:h="15840" w:code="1"/>
      <w:pgMar w:top="1440" w:right="1440" w:bottom="1440" w:left="1440" w:header="432"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F9D" w:rsidRDefault="00807F9D" w:rsidP="005856E8">
      <w:r>
        <w:separator/>
      </w:r>
    </w:p>
  </w:endnote>
  <w:endnote w:type="continuationSeparator" w:id="0">
    <w:p w:rsidR="00807F9D" w:rsidRDefault="00807F9D" w:rsidP="005856E8">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F9D" w:rsidRDefault="00807F9D">
    <w:pPr>
      <w:jc w:val="center"/>
    </w:pP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1</w:t>
    </w:r>
    <w:r>
      <w:rPr>
        <w:rStyle w:val="PageNumber"/>
        <w:szCs w:val="20"/>
      </w:rPr>
      <w:fldChar w:fldCharType="end"/>
    </w:r>
    <w:r>
      <w:t xml:space="preserve"> </w:t>
    </w:r>
  </w:p>
  <w:p w:rsidR="00807F9D" w:rsidRDefault="00807F9D"/>
  <w:p w:rsidR="00807F9D" w:rsidRDefault="00807F9D"/>
  <w:p w:rsidR="00807F9D" w:rsidRDefault="00807F9D">
    <w:pPr>
      <w:pStyle w:val="FooterB"/>
    </w:pPr>
    <w:r>
      <w:fldChar w:fldCharType="begin"/>
    </w:r>
    <w:r>
      <w:instrText xml:space="preserve"> if </w:instrText>
    </w:r>
    <w:fldSimple w:instr=" PAGE \* Arabic ">
      <w:r>
        <w:rPr>
          <w:noProof/>
        </w:rPr>
        <w:instrText>1</w:instrText>
      </w:r>
    </w:fldSimple>
    <w:r>
      <w:instrText xml:space="preserve">= 6"955603.05-New York Server 4A - MSW" ""  </w:instrTex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F9D" w:rsidRDefault="00807F9D">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F9D" w:rsidRDefault="00807F9D" w:rsidP="005856E8">
      <w:r>
        <w:separator/>
      </w:r>
    </w:p>
  </w:footnote>
  <w:footnote w:type="continuationSeparator" w:id="0">
    <w:p w:rsidR="00807F9D" w:rsidRDefault="00807F9D" w:rsidP="005856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F9D" w:rsidRDefault="00807F9D">
    <w:pPr>
      <w:pStyle w:val="Header"/>
    </w:pPr>
    <w:r>
      <w:t>Scholar Fund , Inc.</w:t>
    </w:r>
  </w:p>
  <w:p w:rsidR="00807F9D" w:rsidRDefault="00807F9D">
    <w:pPr>
      <w:pStyle w:val="Header"/>
    </w:pPr>
    <w:r>
      <w:t>EIN 45-5028746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79AA"/>
    <w:rsid w:val="00097C56"/>
    <w:rsid w:val="000C1EDD"/>
    <w:rsid w:val="00103695"/>
    <w:rsid w:val="001F4336"/>
    <w:rsid w:val="002B6DD9"/>
    <w:rsid w:val="003F404A"/>
    <w:rsid w:val="004D5ECC"/>
    <w:rsid w:val="005856E8"/>
    <w:rsid w:val="00600AA7"/>
    <w:rsid w:val="006241A9"/>
    <w:rsid w:val="006679AA"/>
    <w:rsid w:val="00807F9D"/>
    <w:rsid w:val="008126B5"/>
    <w:rsid w:val="00A417ED"/>
    <w:rsid w:val="00A62D1A"/>
    <w:rsid w:val="00B31F2F"/>
    <w:rsid w:val="00C77DDD"/>
    <w:rsid w:val="00CD5E3B"/>
    <w:rsid w:val="00CE55EC"/>
    <w:rsid w:val="00CE6586"/>
    <w:rsid w:val="00DD0EF9"/>
    <w:rsid w:val="00E4247A"/>
    <w:rsid w:val="00EA718F"/>
    <w:rsid w:val="00EE0618"/>
    <w:rsid w:val="00FC46D7"/>
    <w:rsid w:val="00FC52E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endnote reference"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9AA"/>
    <w:pPr>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
    <w:basedOn w:val="Normal"/>
    <w:link w:val="BodyTextChar"/>
    <w:uiPriority w:val="99"/>
    <w:rsid w:val="006679AA"/>
    <w:rPr>
      <w:sz w:val="18"/>
    </w:rPr>
  </w:style>
  <w:style w:type="character" w:customStyle="1" w:styleId="BodyTextChar">
    <w:name w:val="Body Text Char"/>
    <w:aliases w:val="b Char"/>
    <w:basedOn w:val="DefaultParagraphFont"/>
    <w:link w:val="BodyText"/>
    <w:uiPriority w:val="99"/>
    <w:locked/>
    <w:rsid w:val="006679AA"/>
    <w:rPr>
      <w:rFonts w:ascii="Times New Roman" w:hAnsi="Times New Roman" w:cs="Times New Roman"/>
      <w:sz w:val="18"/>
    </w:rPr>
  </w:style>
  <w:style w:type="paragraph" w:styleId="Footer">
    <w:name w:val="footer"/>
    <w:basedOn w:val="Normal"/>
    <w:link w:val="FooterChar"/>
    <w:uiPriority w:val="99"/>
    <w:rsid w:val="006679AA"/>
    <w:pPr>
      <w:tabs>
        <w:tab w:val="center" w:pos="4320"/>
        <w:tab w:val="right" w:pos="8640"/>
      </w:tabs>
    </w:pPr>
    <w:rPr>
      <w:szCs w:val="20"/>
    </w:rPr>
  </w:style>
  <w:style w:type="character" w:customStyle="1" w:styleId="FooterChar">
    <w:name w:val="Footer Char"/>
    <w:basedOn w:val="DefaultParagraphFont"/>
    <w:link w:val="Footer"/>
    <w:uiPriority w:val="99"/>
    <w:locked/>
    <w:rsid w:val="006679AA"/>
    <w:rPr>
      <w:rFonts w:ascii="Times New Roman" w:hAnsi="Times New Roman" w:cs="Times New Roman"/>
      <w:sz w:val="20"/>
      <w:szCs w:val="20"/>
    </w:rPr>
  </w:style>
  <w:style w:type="paragraph" w:styleId="Header">
    <w:name w:val="header"/>
    <w:basedOn w:val="Normal"/>
    <w:link w:val="HeaderChar"/>
    <w:uiPriority w:val="99"/>
    <w:rsid w:val="006679AA"/>
  </w:style>
  <w:style w:type="character" w:customStyle="1" w:styleId="HeaderChar">
    <w:name w:val="Header Char"/>
    <w:basedOn w:val="DefaultParagraphFont"/>
    <w:link w:val="Header"/>
    <w:uiPriority w:val="99"/>
    <w:locked/>
    <w:rsid w:val="006679AA"/>
    <w:rPr>
      <w:rFonts w:ascii="Times New Roman" w:hAnsi="Times New Roman" w:cs="Times New Roman"/>
    </w:rPr>
  </w:style>
  <w:style w:type="character" w:styleId="PageNumber">
    <w:name w:val="page number"/>
    <w:basedOn w:val="DefaultParagraphFont"/>
    <w:uiPriority w:val="99"/>
    <w:rsid w:val="006679AA"/>
    <w:rPr>
      <w:rFonts w:cs="Times New Roman"/>
      <w:spacing w:val="0"/>
    </w:rPr>
  </w:style>
  <w:style w:type="paragraph" w:customStyle="1" w:styleId="FooterB">
    <w:name w:val="Footer B"/>
    <w:uiPriority w:val="99"/>
    <w:rsid w:val="006679AA"/>
    <w:pPr>
      <w:tabs>
        <w:tab w:val="center" w:pos="4680"/>
        <w:tab w:val="right" w:pos="9360"/>
      </w:tabs>
    </w:pPr>
    <w:rPr>
      <w:rFonts w:ascii="Times New Roman" w:eastAsia="Times New Roman" w:hAnsi="Times New Roman"/>
      <w:sz w:val="15"/>
      <w:szCs w:val="24"/>
    </w:rPr>
  </w:style>
  <w:style w:type="paragraph" w:styleId="EndnoteText">
    <w:name w:val="endnote text"/>
    <w:basedOn w:val="Normal"/>
    <w:link w:val="EndnoteTextChar"/>
    <w:uiPriority w:val="99"/>
    <w:rsid w:val="006679AA"/>
  </w:style>
  <w:style w:type="character" w:customStyle="1" w:styleId="EndnoteTextChar">
    <w:name w:val="Endnote Text Char"/>
    <w:basedOn w:val="DefaultParagraphFont"/>
    <w:link w:val="EndnoteText"/>
    <w:uiPriority w:val="99"/>
    <w:locked/>
    <w:rsid w:val="006679AA"/>
    <w:rPr>
      <w:rFonts w:ascii="Times New Roman" w:hAnsi="Times New Roman" w:cs="Times New Roman"/>
    </w:rPr>
  </w:style>
  <w:style w:type="character" w:styleId="EndnoteReference">
    <w:name w:val="endnote reference"/>
    <w:basedOn w:val="DefaultParagraphFont"/>
    <w:uiPriority w:val="99"/>
    <w:rsid w:val="006679AA"/>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1195</Words>
  <Characters>6816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 Fund, Inc</dc:title>
  <dc:subject/>
  <dc:creator>Elana Bildner</dc:creator>
  <cp:keywords/>
  <dc:description/>
  <cp:lastModifiedBy>Uyen Tieu</cp:lastModifiedBy>
  <cp:revision>3</cp:revision>
  <cp:lastPrinted>2012-05-31T17:42:00Z</cp:lastPrinted>
  <dcterms:created xsi:type="dcterms:W3CDTF">2012-05-31T17:27:00Z</dcterms:created>
  <dcterms:modified xsi:type="dcterms:W3CDTF">2012-05-31T17:42:00Z</dcterms:modified>
</cp:coreProperties>
</file>